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права использования программ обучения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условиях настоящего договора лицензиар предоставляет лицензиату за вознаграждение право использования обучающей программы (далее – «Программа») в пределах и на условиях, установленных в настоящем договоре, а также приложениях к настоящему договору, которые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программ, их наименование, форма носителя, на котором содержатся программы, год создания, а также размер и порядок выплаты вознаграждения за право использования программы устанавливаются сторонами в приложениях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является простой неисключительной лицензией, и лицензиар сохраняет за собой право выдачи лицензий другим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ПРЕДЕЛЫ И СПОСОБЫ ИСПОЛЬЗОВАНИЯ ПРОГРАММ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Лицензиар предоставляет лицензиату право использовать программы любым, непротиворечащим закону способом, в т.ч. предоставляет неисключительное право использовать программу следующими способами: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публичное использование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публичную демонстрацию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переработку программы;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мерчендайзинг, т.е. право на коммерческое использование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2.2. Совокупность переданных в соответствии с настоящим договором способов использования программы берется в самом общем смысле и без каких бы то ни было оговорок, ограничений, исключений, изъятий. При этом лицензиар обязуется не ограничивать, не запрещать и иным образом не препятствовать использованию программ иными, не запрещенными законом способами.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на использование программ по настоящему договору передается лицензиату с момента выплаты лицензиару всей суммы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2.4. Лицензиат не обязан представлять лицензиару отчеты об использовании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лицензиар является автором программ, тогда лицензиар соглашается, что Произведения могут быть использованы без указания его имени как автора программы, т.е. анонимно.</w:t>
      </w:r>
    </w:p>
    <w:p>
      <w:pPr>
        <w:spacing w:before="0" w:after="150" w:line="290" w:lineRule="auto"/>
      </w:pPr>
      <w:r>
        <w:rPr>
          <w:color w:val="333333"/>
        </w:rPr>
        <w:t xml:space="preserve">2.6. Стороны договорились о том, что лицензиат вправе заключать сублицензионные договоры, т.е. предоставлять право использования программ другим лицам. Лицензиат не несет ответственность за действия сублицензиата.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Лицензиар настоящим гарантирует, что все программы являются оригинальными, не содержат заимствований из программ третьих лиц или иным образом нарушают авторские, смежные и иные права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3.1.2. В случае предъявления лицензиату или третьему лицу, которому будет передано право на использование программы претензий и исков относительно нарушения авторских или иных прав третьих лиц, лицензиар принимает на себя обязательство по их урегулированию и несет ответственность по таким претензиям и искам. В случае нарушения лицензиаром указанных выше гарантий лицензиар обязан выплатить лицензиату неустойку в размере ________ рублей и возместить лицензиату все убытки (включая упущенную выгоду), причиненные таким нарушением.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Лицензиар соглашается по просьбе лицензиата подписывать документы, дополнительно подтверждающие передачу права на использование программы лицензиату.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ПЕРЕДАЧА МАТЕРИАЛЬНОГО НОСИТЕЛЯ, НА КОТОРОМ СОДЕРЖАТСЯ ПРОГРАММЫ</w:t>
      </w:r>
    </w:p>
    <w:p>
      <w:pPr>
        <w:spacing w:before="0" w:after="150" w:line="290" w:lineRule="auto"/>
      </w:pPr>
      <w:r>
        <w:rPr>
          <w:color w:val="333333"/>
        </w:rPr>
        <w:t xml:space="preserve">4.1. В течение ________ дней с момента подписания соответствующего приложения к договору лицензиар обязуется передать лицензиату материальный носитель, на котором содержатся программы, и подписать Акт сдачи-приемки материального носителя с программами.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 дней с момента выплаты вознаграждения за право на использование Произведений стороны подписывают Акт приема-передачи прав на использование Произведений.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 момента вступления в силу настоящего договора все предшествующие переговоры и переписка по вопросам, урегулированным настоящим договором,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5.2. Соглашения о расторжении или изменении настоящего договора, а также дополнения, приложения и протоколы к настоящему договору действительны и являются неотъемлемой его частью только в случае, когда они совершены в письменной форме, подписаны уполномоченными представителями обеих сторон и содержат прямую ссылку на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5.3. Все письменные уведомления направляются по адресам, указанным в настоящем договоре, заказной почтой с уведомлением о вручении, либо телеграфом, либо вручаются лично под расписку. В случае если уведомление не получено стороной по причине смены своего адреса, о которой другая сторона не была уведомлена, отказа лицензиара или иных, проживающих по указанному в настоящем договоре адресу лиц, в получении уведомления или его передаче правообладателю, уведомление считается полученным с даты его отправки, независимо от фактического его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5.4. Все споры и разногласия, возникающие из настоящего договора или в связи с ним, разрешаются путем переговоров между сторонами. При невозможности урегулирования указанных споров и разногласий они разрешаются в судебном порядке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договор составлен в двух экземплярах, имеющих одинаковую юридическую силу, один из которых хранится у лицензиата, другой – у лицензиара.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2016-03-03T18:30:49+03:00</dcterms:created>
  <dcterms:modified xsi:type="dcterms:W3CDTF">2016-03-03T18:30:49+03:00</dcterms:modified>
  <dc:title/>
  <dc:description/>
  <dc:subject/>
  <cp:keywords/>
  <cp:category/>
</cp:coreProperties>
</file>